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79" w:rsidRDefault="00683479" w:rsidP="006834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273350"/>
          <w:sz w:val="28"/>
          <w:szCs w:val="28"/>
        </w:rPr>
        <w:t>Уголовный кодекс Российской Федерации не содержит двустороннюю реституцию, поэтому истребование взятки в бюджет по ст. 169 ГК РФ недопустимо</w:t>
      </w:r>
    </w:p>
    <w:p w:rsidR="00683479" w:rsidRDefault="00683479" w:rsidP="006834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Согласно позиции Верховного суда Российской Федерации, изложенной в определении Судебной коллегии по уголовным делам Верховного Суда Российской Федерации от 29.10.2024 № 8-КГ24-248-К4, сделки, если они общественно опасные и имеется обусловленный этим уголовно-правовой запрет, могут образовывать состав преступления (передача денег с противоправной целью).</w:t>
      </w:r>
    </w:p>
    <w:p w:rsidR="00683479" w:rsidRDefault="00683479" w:rsidP="006834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Квалификация одних и тех же действий как сделки по Гражданскому кодексу Российской Федерации и как преступления по Уголовному кодексу Российской Федерации влечет разные правовые последствия. Ничтожность по ст. 169 Гражданского кодекса Российской Федерации влечет общие последствия (ст. 167 Гражданского кодекса Российской Федерации), а взыскание в доход Российской Федерации полученного имущества возможно в случаях, предусмотренных законом, к которому Уголовный кодекс Российской Федерации не относится.</w:t>
      </w:r>
    </w:p>
    <w:p w:rsidR="00683479" w:rsidRDefault="00683479" w:rsidP="0068347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>Таким образом, в доход Российской Федерации может быть обращено любое имущество, в отношении которого не представлено доказательств его приобретения на законные доходы, в том числе право собственности на которое зарегистрировано на третьих лиц.</w:t>
      </w:r>
    </w:p>
    <w:p w:rsidR="002E79FC" w:rsidRDefault="002411C7"/>
    <w:sectPr w:rsidR="002E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79"/>
    <w:rsid w:val="002411C7"/>
    <w:rsid w:val="00660946"/>
    <w:rsid w:val="00683479"/>
    <w:rsid w:val="009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AE562-A5AC-4165-9A0D-B14C683A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Соловьёва Елена Сергеевна</cp:lastModifiedBy>
  <cp:revision>2</cp:revision>
  <dcterms:created xsi:type="dcterms:W3CDTF">2024-12-20T10:28:00Z</dcterms:created>
  <dcterms:modified xsi:type="dcterms:W3CDTF">2024-12-20T10:28:00Z</dcterms:modified>
</cp:coreProperties>
</file>