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6A" w:rsidRDefault="002A316A" w:rsidP="002A316A">
      <w:pPr>
        <w:ind w:firstLine="708"/>
        <w:jc w:val="both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2A316A" w:rsidRPr="00E03723" w:rsidRDefault="002A316A" w:rsidP="005E1C3E">
      <w:pPr>
        <w:pStyle w:val="1"/>
        <w:spacing w:after="0" w:afterAutospacing="0"/>
        <w:ind w:firstLine="708"/>
        <w:textAlignment w:val="baseline"/>
        <w:rPr>
          <w:rFonts w:ascii="Times New Roman" w:hAnsi="Times New Roman" w:cs="Times New Roman"/>
          <w:color w:val="auto"/>
        </w:rPr>
      </w:pPr>
      <w:r w:rsidRPr="00E03723">
        <w:rPr>
          <w:rFonts w:ascii="Times New Roman" w:hAnsi="Times New Roman" w:cs="Times New Roman"/>
          <w:color w:val="auto"/>
        </w:rPr>
        <w:t xml:space="preserve">Что нужно узнать, прежде чем оформить </w:t>
      </w:r>
      <w:proofErr w:type="spellStart"/>
      <w:r w:rsidRPr="00E03723">
        <w:rPr>
          <w:rFonts w:ascii="Times New Roman" w:hAnsi="Times New Roman" w:cs="Times New Roman"/>
          <w:color w:val="auto"/>
        </w:rPr>
        <w:t>займ</w:t>
      </w:r>
      <w:proofErr w:type="spellEnd"/>
      <w:r w:rsidRPr="00E03723">
        <w:rPr>
          <w:rFonts w:ascii="Times New Roman" w:hAnsi="Times New Roman" w:cs="Times New Roman"/>
          <w:color w:val="auto"/>
        </w:rPr>
        <w:t xml:space="preserve"> в МФО</w:t>
      </w:r>
    </w:p>
    <w:p w:rsidR="002A316A" w:rsidRPr="00E03723" w:rsidRDefault="002A316A" w:rsidP="002A316A">
      <w:pPr>
        <w:pStyle w:val="1"/>
        <w:spacing w:after="0" w:afterAutospacing="0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2A316A" w:rsidRPr="00763A6F" w:rsidRDefault="002A316A" w:rsidP="002A316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A6F">
        <w:rPr>
          <w:rFonts w:ascii="Times New Roman" w:hAnsi="Times New Roman" w:cs="Times New Roman"/>
          <w:sz w:val="24"/>
          <w:szCs w:val="24"/>
        </w:rPr>
        <w:t xml:space="preserve">Если по какой-либо причине, Вы не хотите предъявлять справку организациям о своей заработной плате или же доказывать свою кредитоспособность, но срочно нуждаетесь в денежном финансировании, то Вам верный путь в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организации. В таких ситуациях коммерческие банки фактически не выдают кредиты, так как им требуется наличие подтверждения об официальном трудоустройстве, идеальная кредитная история и целый пакет документов о доходах. Однако хоть это и самый распространенный способ кредитования населения, но далеко не единственный. Существует множество организаций, занимающихся выдачей денежных средств на определенных условиях, например, по программам (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беззалоговым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и с залогом).</w:t>
      </w:r>
    </w:p>
    <w:p w:rsidR="002A316A" w:rsidRPr="00763A6F" w:rsidRDefault="002A316A" w:rsidP="002A316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A6F">
        <w:rPr>
          <w:rFonts w:ascii="Times New Roman" w:hAnsi="Times New Roman" w:cs="Times New Roman"/>
          <w:sz w:val="24"/>
          <w:szCs w:val="24"/>
        </w:rPr>
        <w:t xml:space="preserve">Итак, прежде чем оформлять кредиты и займы в подобных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организациях, рекомендуем Вам обратить свое внимание на следующие вещи:</w:t>
      </w:r>
    </w:p>
    <w:p w:rsidR="002A316A" w:rsidRPr="00763A6F" w:rsidRDefault="002A316A" w:rsidP="002A316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A6F">
        <w:rPr>
          <w:rFonts w:ascii="Times New Roman" w:hAnsi="Times New Roman" w:cs="Times New Roman"/>
          <w:sz w:val="24"/>
          <w:szCs w:val="24"/>
        </w:rPr>
        <w:t>Обычно среди таких учреждений встречается огромное количество мошенников, расклеивающих свою рекламу на столбах и домах в различных районах</w:t>
      </w:r>
      <w:r w:rsidRPr="00763A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города" w:history="1">
        <w:r w:rsidRPr="00763A6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города</w:t>
        </w:r>
      </w:hyperlink>
      <w:r w:rsidRPr="00763A6F">
        <w:rPr>
          <w:rFonts w:ascii="Times New Roman" w:hAnsi="Times New Roman" w:cs="Times New Roman"/>
          <w:sz w:val="24"/>
          <w:szCs w:val="24"/>
        </w:rPr>
        <w:t xml:space="preserve">. Именно этот фактор должен навести Вас на мысль, что здесь может быть слишком все просто, тем более не стоит рисковать и сразу же подписывать договор с такой МФО, даже в том случае, если у вас катастрофическая нехватка денег. Первостепенно проверьте наличие данной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организации в государственном реестре. Далее обязательным является свидетельство от Министерства финансов. Если все эти документы присутствуют, то неплохо еще узнать о наличии аудиторских отчетов и свидетельства какого-нибудь рейтингового агентства. Только после этого Вы можете быть уверенным, что, скорее всего, данная МФО не мошенническая организация.</w:t>
      </w:r>
    </w:p>
    <w:p w:rsidR="002A316A" w:rsidRPr="00763A6F" w:rsidRDefault="002A316A" w:rsidP="002A316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A6F">
        <w:rPr>
          <w:rFonts w:ascii="Times New Roman" w:hAnsi="Times New Roman" w:cs="Times New Roman"/>
          <w:sz w:val="24"/>
          <w:szCs w:val="24"/>
        </w:rPr>
        <w:t xml:space="preserve">Еще немаловажный фактор – это существование нелегальных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организаций. Чаще всего в контролирующие органы этого сегмента жалуются именно на них. Еще их называют «серыми». Поэтому самыми надежными считаются лидеры различных рейтингов.</w:t>
      </w:r>
    </w:p>
    <w:p w:rsidR="002A316A" w:rsidRPr="00763A6F" w:rsidRDefault="002A316A" w:rsidP="002A316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A6F">
        <w:rPr>
          <w:rFonts w:ascii="Times New Roman" w:hAnsi="Times New Roman" w:cs="Times New Roman"/>
          <w:sz w:val="24"/>
          <w:szCs w:val="24"/>
        </w:rPr>
        <w:t>Зачастую такие организации на своих сайтах указывают лишь сумму займа и сумму возврата, не упоминая при этом о процентной ставке. Делается это из-за того, что накрутка может составлять 800%, и даже более. Для сравнения банки обычные берут в год приблизительно 50-60%. Однако, обращаясь в МФО, люди редко задумываются о процентах, так как берут до зарплаты на несколько недель или же находятся в сложной чрезвычайной ситуации. Поэтому выбирайте наиболее выгодные предложения.</w:t>
      </w:r>
    </w:p>
    <w:p w:rsidR="002A316A" w:rsidRPr="00763A6F" w:rsidRDefault="002A316A" w:rsidP="002A316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A6F">
        <w:rPr>
          <w:rFonts w:ascii="Times New Roman" w:hAnsi="Times New Roman" w:cs="Times New Roman"/>
          <w:sz w:val="24"/>
          <w:szCs w:val="24"/>
        </w:rPr>
        <w:t>В отличие от банков,</w:t>
      </w:r>
      <w:r w:rsidRPr="00763A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МФО" w:history="1">
        <w:r w:rsidRPr="00763A6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МФО</w:t>
        </w:r>
      </w:hyperlink>
      <w:r w:rsidRPr="00763A6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63A6F">
        <w:rPr>
          <w:rFonts w:ascii="Times New Roman" w:hAnsi="Times New Roman" w:cs="Times New Roman"/>
          <w:sz w:val="24"/>
          <w:szCs w:val="24"/>
        </w:rPr>
        <w:t xml:space="preserve">требует оплату в определенное время существования вашего договора. Например, в последний день погашения кредита или один раз в две недели. Здесь стоит учитывать, что платежи эти обязательны, и в случае неоплаты Вам будут начислены огромные проценты в виде штрафных санкций. Это нужно Вам для того, чтобы сократить свои затраты. В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организациях нет своих собственных терминалов или работающих отделений, они пользуются услугами партнеров, хотя встречается, что и этого даже нет. Поэтому узнайте, где можете погасить свой долг без процентов или с минимальной комиссией.</w:t>
      </w:r>
    </w:p>
    <w:p w:rsidR="002A316A" w:rsidRDefault="002A316A" w:rsidP="00A42F25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763A6F">
        <w:rPr>
          <w:rFonts w:ascii="Times New Roman" w:hAnsi="Times New Roman" w:cs="Times New Roman"/>
          <w:sz w:val="24"/>
          <w:szCs w:val="24"/>
        </w:rPr>
        <w:t xml:space="preserve">Когда Вы уже выбрали, в какую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микрофинансовую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 организацию обратитесь, и даже уже заключили договор, помните об условиях, на основе которых Вам выдали кредит или </w:t>
      </w:r>
      <w:proofErr w:type="spellStart"/>
      <w:r w:rsidRPr="00763A6F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763A6F">
        <w:rPr>
          <w:rFonts w:ascii="Times New Roman" w:hAnsi="Times New Roman" w:cs="Times New Roman"/>
          <w:sz w:val="24"/>
          <w:szCs w:val="24"/>
        </w:rPr>
        <w:t xml:space="preserve">. Не тяните оплату до последнего дня, это грозит Вам штрафными процентами, так как все транзакции между банками осуществляются на протяжении </w:t>
      </w:r>
      <w:r w:rsidRPr="00477BF6">
        <w:rPr>
          <w:rFonts w:ascii="Times New Roman" w:hAnsi="Times New Roman" w:cs="Times New Roman"/>
          <w:sz w:val="24"/>
          <w:szCs w:val="24"/>
        </w:rPr>
        <w:t>3-5 дней</w:t>
      </w:r>
      <w:r w:rsidRPr="00E0372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37A8" w:rsidRDefault="00AF37A8" w:rsidP="00AF37A8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1C3E" w:rsidRDefault="00AF37A8" w:rsidP="00AF37A8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7A8">
        <w:rPr>
          <w:rFonts w:ascii="Times New Roman" w:hAnsi="Times New Roman" w:cs="Times New Roman"/>
          <w:sz w:val="24"/>
          <w:szCs w:val="24"/>
        </w:rPr>
        <w:t>Ст</w:t>
      </w:r>
      <w:r w:rsidR="005E1C3E">
        <w:rPr>
          <w:rFonts w:ascii="Times New Roman" w:hAnsi="Times New Roman" w:cs="Times New Roman"/>
          <w:sz w:val="24"/>
          <w:szCs w:val="24"/>
        </w:rPr>
        <w:t xml:space="preserve">арший </w:t>
      </w:r>
      <w:r w:rsidRPr="00AF37A8">
        <w:rPr>
          <w:rFonts w:ascii="Times New Roman" w:hAnsi="Times New Roman" w:cs="Times New Roman"/>
          <w:sz w:val="24"/>
          <w:szCs w:val="24"/>
        </w:rPr>
        <w:t xml:space="preserve">помощник </w:t>
      </w:r>
    </w:p>
    <w:p w:rsidR="00AF37A8" w:rsidRPr="00AF37A8" w:rsidRDefault="005E1C3E" w:rsidP="00AF37A8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Слободского межрайонного прокурора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Е.С. Соловьева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316A" w:rsidRDefault="00AF37A8" w:rsidP="002A316A">
      <w:pPr>
        <w:pStyle w:val="1"/>
        <w:spacing w:after="0" w:afterAutospacing="0"/>
        <w:ind w:firstLine="708"/>
        <w:jc w:val="both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2A316A" w:rsidRDefault="002A316A" w:rsidP="002A316A">
      <w:pPr>
        <w:pStyle w:val="1"/>
        <w:spacing w:after="0" w:afterAutospacing="0"/>
        <w:ind w:firstLine="708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2A316A" w:rsidRDefault="002A316A" w:rsidP="002A316A">
      <w:pPr>
        <w:jc w:val="right"/>
        <w:rPr>
          <w:sz w:val="28"/>
          <w:szCs w:val="28"/>
        </w:rPr>
      </w:pPr>
    </w:p>
    <w:p w:rsidR="007D1129" w:rsidRDefault="007D1129"/>
    <w:sectPr w:rsidR="007D1129" w:rsidSect="00F400B0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9F7"/>
    <w:multiLevelType w:val="multilevel"/>
    <w:tmpl w:val="78A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5C"/>
    <w:rsid w:val="002A316A"/>
    <w:rsid w:val="00446B1B"/>
    <w:rsid w:val="00477BF6"/>
    <w:rsid w:val="005E1C3E"/>
    <w:rsid w:val="00763A6F"/>
    <w:rsid w:val="007D1129"/>
    <w:rsid w:val="008643EE"/>
    <w:rsid w:val="00A42F25"/>
    <w:rsid w:val="00AC7F71"/>
    <w:rsid w:val="00AF37A8"/>
    <w:rsid w:val="00DE205C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7B19"/>
  <w15:chartTrackingRefBased/>
  <w15:docId w15:val="{7628A34F-D947-4ED1-9A95-DAAD85E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6A"/>
    <w:pPr>
      <w:spacing w:after="100" w:afterAutospacing="1"/>
      <w:jc w:val="center"/>
      <w:outlineLvl w:val="0"/>
    </w:pPr>
    <w:rPr>
      <w:rFonts w:ascii="Arial" w:hAnsi="Arial" w:cs="Arial"/>
      <w:b/>
      <w:bCs/>
      <w:color w:val="FF33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6A"/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2A316A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4">
    <w:name w:val="Hyperlink"/>
    <w:uiPriority w:val="99"/>
    <w:rsid w:val="002A316A"/>
    <w:rPr>
      <w:color w:val="40ACEA"/>
      <w:u w:val="single"/>
    </w:rPr>
  </w:style>
  <w:style w:type="character" w:customStyle="1" w:styleId="apple-converted-space">
    <w:name w:val="apple-converted-space"/>
    <w:rsid w:val="002A316A"/>
  </w:style>
  <w:style w:type="paragraph" w:styleId="a5">
    <w:name w:val="Balloon Text"/>
    <w:basedOn w:val="a"/>
    <w:link w:val="a6"/>
    <w:uiPriority w:val="99"/>
    <w:semiHidden/>
    <w:unhideWhenUsed/>
    <w:rsid w:val="002A31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zaim.com/mfo-list/" TargetMode="External"/><Relationship Id="rId5" Type="http://schemas.openxmlformats.org/officeDocument/2006/relationships/hyperlink" Target="http://superzaim.com/gor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Волков Антон Александрович</cp:lastModifiedBy>
  <cp:revision>10</cp:revision>
  <cp:lastPrinted>2022-06-27T06:35:00Z</cp:lastPrinted>
  <dcterms:created xsi:type="dcterms:W3CDTF">2022-06-26T13:42:00Z</dcterms:created>
  <dcterms:modified xsi:type="dcterms:W3CDTF">2023-04-20T12:51:00Z</dcterms:modified>
</cp:coreProperties>
</file>