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7D" w:rsidRPr="003A23B3" w:rsidRDefault="00145F7D" w:rsidP="003A23B3">
      <w:pPr>
        <w:ind w:left="-284"/>
        <w:jc w:val="center"/>
        <w:rPr>
          <w:b/>
          <w:noProof/>
          <w:sz w:val="28"/>
          <w:szCs w:val="28"/>
        </w:rPr>
      </w:pPr>
      <w:r w:rsidRPr="003A23B3">
        <w:rPr>
          <w:b/>
          <w:noProof/>
          <w:sz w:val="28"/>
          <w:szCs w:val="28"/>
        </w:rPr>
        <w:t>ПРОЕКТ</w:t>
      </w:r>
    </w:p>
    <w:p w:rsidR="00862776" w:rsidRDefault="00862776" w:rsidP="00862776">
      <w:pPr>
        <w:ind w:lef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1CDFD4" wp14:editId="7CC3BF39">
            <wp:extent cx="556895" cy="72707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B3" w:rsidRDefault="003A23B3" w:rsidP="00862776">
      <w:pPr>
        <w:ind w:left="-284"/>
        <w:jc w:val="center"/>
        <w:rPr>
          <w:noProof/>
          <w:sz w:val="28"/>
          <w:szCs w:val="28"/>
        </w:rPr>
      </w:pPr>
    </w:p>
    <w:p w:rsidR="00862776" w:rsidRDefault="00862776" w:rsidP="00862776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ВАХРУШЕВСКОГО ГОРОДСКОГО ПОСЕЛЕНИЯ</w:t>
      </w:r>
    </w:p>
    <w:p w:rsidR="00862776" w:rsidRDefault="00862776" w:rsidP="008627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3A23B3" w:rsidRDefault="003A23B3" w:rsidP="00862776">
      <w:pPr>
        <w:spacing w:line="360" w:lineRule="auto"/>
        <w:jc w:val="center"/>
        <w:rPr>
          <w:b/>
          <w:sz w:val="28"/>
          <w:szCs w:val="28"/>
        </w:rPr>
      </w:pPr>
    </w:p>
    <w:p w:rsidR="00862776" w:rsidRDefault="00862776" w:rsidP="0086277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862776" w:rsidTr="00862776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776" w:rsidRDefault="00862776">
            <w:pPr>
              <w:rPr>
                <w:sz w:val="28"/>
                <w:szCs w:val="28"/>
              </w:rPr>
            </w:pPr>
          </w:p>
        </w:tc>
        <w:tc>
          <w:tcPr>
            <w:tcW w:w="5645" w:type="dxa"/>
            <w:hideMark/>
          </w:tcPr>
          <w:p w:rsidR="00862776" w:rsidRDefault="0086277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2776" w:rsidRDefault="00862776">
            <w:pPr>
              <w:rPr>
                <w:sz w:val="28"/>
                <w:szCs w:val="28"/>
              </w:rPr>
            </w:pPr>
          </w:p>
        </w:tc>
      </w:tr>
    </w:tbl>
    <w:p w:rsidR="00862776" w:rsidRPr="003A23B3" w:rsidRDefault="003A23B3" w:rsidP="003A23B3">
      <w:pPr>
        <w:spacing w:after="480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="00862776">
        <w:rPr>
          <w:sz w:val="28"/>
          <w:szCs w:val="28"/>
        </w:rPr>
        <w:t>Вахруши</w:t>
      </w:r>
    </w:p>
    <w:p w:rsidR="003A23B3" w:rsidRDefault="00862776" w:rsidP="008627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7635BC">
        <w:rPr>
          <w:b/>
          <w:sz w:val="28"/>
          <w:szCs w:val="28"/>
        </w:rPr>
        <w:t>няемым законом ценностям на 202</w:t>
      </w:r>
      <w:r w:rsidR="00D106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</w:t>
      </w:r>
      <w:r w:rsidR="003A23B3">
        <w:rPr>
          <w:b/>
          <w:sz w:val="28"/>
          <w:szCs w:val="28"/>
        </w:rPr>
        <w:t xml:space="preserve">униципального лесного контроля </w:t>
      </w:r>
      <w:r>
        <w:rPr>
          <w:b/>
          <w:sz w:val="28"/>
          <w:szCs w:val="28"/>
        </w:rPr>
        <w:t xml:space="preserve">на территории </w:t>
      </w:r>
    </w:p>
    <w:p w:rsidR="00862776" w:rsidRDefault="00862776" w:rsidP="003A23B3">
      <w:pPr>
        <w:spacing w:after="480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Вахрушевского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</w:p>
    <w:p w:rsidR="00862776" w:rsidRDefault="00862776" w:rsidP="00862776">
      <w:pPr>
        <w:tabs>
          <w:tab w:val="left" w:pos="28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A23B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ПОСТАНОВЛЯЕТ:</w:t>
      </w:r>
    </w:p>
    <w:p w:rsidR="00862776" w:rsidRDefault="00862776" w:rsidP="0086277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7635BC">
        <w:rPr>
          <w:sz w:val="28"/>
          <w:szCs w:val="28"/>
        </w:rPr>
        <w:t>няемым законом ценностям на 202</w:t>
      </w:r>
      <w:r w:rsidR="00D1060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лесного контроля на территории Вахрушевского городского поселения. Прилагается.</w:t>
      </w:r>
    </w:p>
    <w:p w:rsidR="00862776" w:rsidRDefault="00862776" w:rsidP="008627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23B3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официальном печатном издан</w:t>
      </w:r>
      <w:r w:rsidR="003A23B3">
        <w:rPr>
          <w:sz w:val="28"/>
          <w:szCs w:val="28"/>
        </w:rPr>
        <w:t xml:space="preserve">ии «Информационный бюллетень», </w:t>
      </w:r>
      <w:r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Вахрушевского</w:t>
      </w:r>
      <w:proofErr w:type="spellEnd"/>
      <w:r>
        <w:rPr>
          <w:sz w:val="28"/>
          <w:szCs w:val="28"/>
        </w:rPr>
        <w:t xml:space="preserve"> городского поселения в сети Интернет.</w:t>
      </w:r>
    </w:p>
    <w:p w:rsidR="00862776" w:rsidRDefault="00862776" w:rsidP="003A23B3">
      <w:pPr>
        <w:numPr>
          <w:ilvl w:val="0"/>
          <w:numId w:val="1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="003A23B3">
        <w:rPr>
          <w:sz w:val="28"/>
          <w:szCs w:val="28"/>
        </w:rPr>
        <w:t>остановления оставляю за собой.</w:t>
      </w:r>
    </w:p>
    <w:p w:rsidR="00862776" w:rsidRDefault="00862776" w:rsidP="008627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0231" w:rsidRPr="00F951B5" w:rsidRDefault="00862776" w:rsidP="003A23B3">
      <w:pPr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Вахрушевского городс</w:t>
      </w:r>
      <w:r w:rsidR="003A23B3">
        <w:rPr>
          <w:sz w:val="28"/>
          <w:szCs w:val="28"/>
        </w:rPr>
        <w:t>кого поселения</w:t>
      </w:r>
      <w:r w:rsidR="003A23B3">
        <w:rPr>
          <w:sz w:val="28"/>
          <w:szCs w:val="28"/>
        </w:rPr>
        <w:tab/>
      </w:r>
      <w:r w:rsidR="003A23B3">
        <w:rPr>
          <w:sz w:val="28"/>
          <w:szCs w:val="28"/>
        </w:rPr>
        <w:tab/>
      </w:r>
      <w:r w:rsidR="003A23B3">
        <w:rPr>
          <w:sz w:val="28"/>
          <w:szCs w:val="28"/>
        </w:rPr>
        <w:tab/>
      </w:r>
      <w:r w:rsidR="003A23B3">
        <w:rPr>
          <w:sz w:val="28"/>
          <w:szCs w:val="28"/>
        </w:rPr>
        <w:tab/>
        <w:t>М.В. Ефремов</w:t>
      </w:r>
    </w:p>
    <w:p w:rsidR="00862776" w:rsidRDefault="00862776" w:rsidP="005D0231">
      <w:pPr>
        <w:ind w:left="5940"/>
      </w:pPr>
    </w:p>
    <w:p w:rsidR="00862776" w:rsidRDefault="00862776" w:rsidP="00862776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862776" w:rsidRDefault="003A23B3" w:rsidP="00862776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862776">
        <w:rPr>
          <w:sz w:val="28"/>
          <w:szCs w:val="28"/>
        </w:rPr>
        <w:t xml:space="preserve">дминистрации </w:t>
      </w:r>
    </w:p>
    <w:p w:rsidR="00862776" w:rsidRDefault="00862776" w:rsidP="00862776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</w:p>
    <w:p w:rsidR="00862776" w:rsidRDefault="00862776" w:rsidP="00862776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</w:p>
    <w:p w:rsidR="00862776" w:rsidRDefault="00862776" w:rsidP="00862776">
      <w:pPr>
        <w:ind w:left="4253"/>
        <w:jc w:val="center"/>
        <w:outlineLvl w:val="0"/>
        <w:rPr>
          <w:b/>
          <w:sz w:val="28"/>
          <w:szCs w:val="28"/>
        </w:rPr>
      </w:pPr>
    </w:p>
    <w:p w:rsidR="00862776" w:rsidRDefault="00862776" w:rsidP="008627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</w:t>
      </w:r>
      <w:r w:rsidR="007635BC">
        <w:rPr>
          <w:b/>
          <w:sz w:val="28"/>
          <w:szCs w:val="28"/>
        </w:rPr>
        <w:t>няемым законом ценностям на 202</w:t>
      </w:r>
      <w:r w:rsidR="00D106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</w:t>
      </w:r>
      <w:r w:rsidR="003A23B3">
        <w:rPr>
          <w:b/>
          <w:sz w:val="28"/>
          <w:szCs w:val="28"/>
        </w:rPr>
        <w:t xml:space="preserve">униципального лесного контроля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Вахрушевского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862776" w:rsidRDefault="00862776" w:rsidP="00862776">
      <w:pPr>
        <w:jc w:val="center"/>
        <w:outlineLvl w:val="0"/>
        <w:rPr>
          <w:b/>
          <w:sz w:val="28"/>
          <w:szCs w:val="28"/>
        </w:rPr>
      </w:pPr>
    </w:p>
    <w:p w:rsidR="00862776" w:rsidRPr="003A23B3" w:rsidRDefault="00862776" w:rsidP="003A23B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3A23B3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7635BC" w:rsidRPr="003A23B3">
        <w:rPr>
          <w:sz w:val="28"/>
          <w:szCs w:val="28"/>
        </w:rPr>
        <w:t>няемым законом ценностям на 202</w:t>
      </w:r>
      <w:r w:rsidR="00D1060D" w:rsidRPr="003A23B3">
        <w:rPr>
          <w:sz w:val="28"/>
          <w:szCs w:val="28"/>
        </w:rPr>
        <w:t>5</w:t>
      </w:r>
      <w:r w:rsidRPr="003A23B3">
        <w:rPr>
          <w:sz w:val="28"/>
          <w:szCs w:val="28"/>
        </w:rPr>
        <w:t xml:space="preserve"> год в сфере муниципального лесного контроля  на территории Вахрушевского городского поселения (далее – Программа) разработана в целях  стимулирования добросовестного соблюдения обязательных требовани</w:t>
      </w:r>
      <w:r w:rsidR="003A23B3">
        <w:rPr>
          <w:sz w:val="28"/>
          <w:szCs w:val="28"/>
        </w:rPr>
        <w:t xml:space="preserve">й организациями и гражданами, </w:t>
      </w:r>
      <w:r w:rsidRPr="003A23B3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3A23B3">
        <w:rPr>
          <w:sz w:val="28"/>
          <w:szCs w:val="28"/>
        </w:rPr>
        <w:t xml:space="preserve"> охраняемым законом ценностям, </w:t>
      </w:r>
      <w:r w:rsidRPr="003A23B3">
        <w:rPr>
          <w:sz w:val="28"/>
          <w:szCs w:val="28"/>
        </w:rPr>
        <w:t>создания условий для доведения обязательных</w:t>
      </w:r>
      <w:proofErr w:type="gramEnd"/>
      <w:r w:rsidRPr="003A23B3">
        <w:rPr>
          <w:sz w:val="28"/>
          <w:szCs w:val="28"/>
        </w:rPr>
        <w:t xml:space="preserve"> требований до контролируемых лиц, повышение информированности о способах их соблюдения.</w:t>
      </w:r>
    </w:p>
    <w:p w:rsidR="00862776" w:rsidRPr="003A23B3" w:rsidRDefault="00862776" w:rsidP="003A2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Настоящая Программа разработана и подлежит исполнению администрацией Вахрушевского городского поселения (далее по тексту – администрация).</w:t>
      </w:r>
    </w:p>
    <w:p w:rsidR="00862776" w:rsidRPr="003A23B3" w:rsidRDefault="00862776" w:rsidP="003A23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62776" w:rsidRPr="00FC6F16" w:rsidRDefault="00862776" w:rsidP="00FC6F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23B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3A23B3">
        <w:rPr>
          <w:b/>
          <w:sz w:val="28"/>
          <w:szCs w:val="28"/>
        </w:rPr>
        <w:t>: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1.1. Вид муниципального контроля: муниципальный лесной контроль.</w:t>
      </w:r>
    </w:p>
    <w:p w:rsidR="00862776" w:rsidRPr="003A23B3" w:rsidRDefault="00862776" w:rsidP="003A23B3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3B3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является:</w:t>
      </w:r>
    </w:p>
    <w:p w:rsidR="00862776" w:rsidRPr="003A23B3" w:rsidRDefault="00862776" w:rsidP="003A2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3B3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Вахрушевского городского поселения, требований, установленных в соответствии с Лесным кодексом Российской Федерации, другими федеральными законами и </w:t>
      </w:r>
      <w:r w:rsidRPr="003A23B3">
        <w:rPr>
          <w:rFonts w:ascii="Times New Roman" w:hAnsi="Times New Roman" w:cs="Times New Roman"/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 области в области использования, охраны, защиты, воспроизводства лесов и</w:t>
      </w:r>
      <w:proofErr w:type="gramEnd"/>
      <w:r w:rsidRPr="003A23B3">
        <w:rPr>
          <w:rFonts w:ascii="Times New Roman" w:hAnsi="Times New Roman" w:cs="Times New Roman"/>
          <w:sz w:val="28"/>
          <w:szCs w:val="28"/>
        </w:rPr>
        <w:t xml:space="preserve"> лесоразведения, в том числе в области семеноводства в отношении семян лесных растений (далее - обязательные требования);</w:t>
      </w:r>
    </w:p>
    <w:p w:rsidR="00862776" w:rsidRPr="003A23B3" w:rsidRDefault="00862776" w:rsidP="003A2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3B3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62776" w:rsidRPr="003A23B3" w:rsidRDefault="007635BC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Администрацией за 9 месяцев 202</w:t>
      </w:r>
      <w:r w:rsidR="00D1060D" w:rsidRPr="003A23B3">
        <w:rPr>
          <w:sz w:val="28"/>
          <w:szCs w:val="28"/>
        </w:rPr>
        <w:t>4</w:t>
      </w:r>
      <w:r w:rsidR="00862776" w:rsidRPr="003A23B3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1.3. В рамках профилактики</w:t>
      </w:r>
      <w:r w:rsidRPr="003A23B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FC6F16">
        <w:rPr>
          <w:sz w:val="28"/>
          <w:szCs w:val="28"/>
        </w:rPr>
        <w:t xml:space="preserve"> администрацией</w:t>
      </w:r>
      <w:r w:rsidR="007635BC" w:rsidRPr="003A23B3">
        <w:rPr>
          <w:sz w:val="28"/>
          <w:szCs w:val="28"/>
        </w:rPr>
        <w:t xml:space="preserve"> в 202</w:t>
      </w:r>
      <w:r w:rsidR="00D1060D" w:rsidRPr="003A23B3">
        <w:rPr>
          <w:sz w:val="28"/>
          <w:szCs w:val="28"/>
        </w:rPr>
        <w:t>4</w:t>
      </w:r>
      <w:r w:rsidRPr="003A23B3">
        <w:rPr>
          <w:sz w:val="28"/>
          <w:szCs w:val="28"/>
        </w:rPr>
        <w:t xml:space="preserve"> году осуществляются следующие мероприятия: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 xml:space="preserve">1.3.1. Консультирование: 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способы консультирования: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перечень вопросов, по которым осуществляется консультирование:</w:t>
      </w:r>
    </w:p>
    <w:p w:rsidR="00862776" w:rsidRPr="003A23B3" w:rsidRDefault="00862776" w:rsidP="00FC6F16">
      <w:pPr>
        <w:spacing w:line="360" w:lineRule="auto"/>
        <w:ind w:left="927" w:hanging="927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порядок проведения контрольных мероприятий;</w:t>
      </w:r>
    </w:p>
    <w:p w:rsidR="00862776" w:rsidRPr="003A23B3" w:rsidRDefault="00862776" w:rsidP="00FC6F16">
      <w:pPr>
        <w:spacing w:line="360" w:lineRule="auto"/>
        <w:ind w:left="927" w:hanging="927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порядок осуществления профилактических мероприятий;</w:t>
      </w:r>
    </w:p>
    <w:p w:rsidR="00862776" w:rsidRPr="003A23B3" w:rsidRDefault="00862776" w:rsidP="00FC6F16">
      <w:pPr>
        <w:spacing w:line="360" w:lineRule="auto"/>
        <w:ind w:left="927" w:hanging="927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порядок принятия решений по итогам контрольных мероприятий;</w:t>
      </w:r>
    </w:p>
    <w:p w:rsidR="00862776" w:rsidRPr="003A23B3" w:rsidRDefault="00862776" w:rsidP="00FC6F16">
      <w:pPr>
        <w:spacing w:line="360" w:lineRule="auto"/>
        <w:ind w:left="927" w:hanging="927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порядок обжалования решений Контрольного органа.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1.3.2. Информирование:</w:t>
      </w:r>
    </w:p>
    <w:p w:rsidR="00862776" w:rsidRPr="003A23B3" w:rsidRDefault="00862776" w:rsidP="003A23B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размещение на оф</w:t>
      </w:r>
      <w:r w:rsidR="00FC6F16">
        <w:rPr>
          <w:sz w:val="28"/>
          <w:szCs w:val="28"/>
        </w:rPr>
        <w:t xml:space="preserve">ициальном сайте администрации в сети «Интернет» </w:t>
      </w:r>
      <w:r w:rsidRPr="003A23B3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FC6F16">
        <w:rPr>
          <w:sz w:val="28"/>
          <w:szCs w:val="28"/>
        </w:rPr>
        <w:t xml:space="preserve">яется предметом муниципального </w:t>
      </w:r>
      <w:r w:rsidRPr="003A23B3">
        <w:rPr>
          <w:sz w:val="28"/>
          <w:szCs w:val="28"/>
        </w:rPr>
        <w:t>контроля, а также текстов соответствующих нормативных правовых актов;</w:t>
      </w:r>
    </w:p>
    <w:p w:rsidR="00862776" w:rsidRPr="003A23B3" w:rsidRDefault="00862776" w:rsidP="003A23B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</w:t>
      </w:r>
      <w:r w:rsidRPr="003A23B3">
        <w:rPr>
          <w:sz w:val="28"/>
          <w:szCs w:val="28"/>
        </w:rPr>
        <w:lastRenderedPageBreak/>
        <w:t>числе посредством разработки и опубликования руководств по соблюдению обязательных требований, разъяснительной работы в</w:t>
      </w:r>
      <w:r w:rsidR="00FC6F16">
        <w:rPr>
          <w:sz w:val="28"/>
          <w:szCs w:val="28"/>
        </w:rPr>
        <w:t xml:space="preserve"> средствах массовой информации;</w:t>
      </w:r>
    </w:p>
    <w:p w:rsidR="0002258D" w:rsidRPr="003A23B3" w:rsidRDefault="0002258D" w:rsidP="003A23B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1.3.3. Предостережение:</w:t>
      </w:r>
    </w:p>
    <w:p w:rsidR="0002258D" w:rsidRPr="00FC6F16" w:rsidRDefault="00FC6F16" w:rsidP="00FC6F16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proofErr w:type="gramStart"/>
      <w:r>
        <w:rPr>
          <w:color w:val="1A1A1A"/>
          <w:sz w:val="28"/>
          <w:szCs w:val="28"/>
        </w:rPr>
        <w:t>п</w:t>
      </w:r>
      <w:r w:rsidR="0002258D" w:rsidRPr="003A23B3">
        <w:rPr>
          <w:color w:val="1A1A1A"/>
          <w:sz w:val="28"/>
          <w:szCs w:val="28"/>
        </w:rPr>
        <w:t xml:space="preserve">редостережение о недопустимости нарушения обязательных требований и предложение принять меры по обеспечению соблюдения требований объявляются контролируемому лицу в случае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ценностям либо создало угрозу причинения вреда (ущерба) законом </w:t>
      </w:r>
      <w:r>
        <w:rPr>
          <w:color w:val="1A1A1A"/>
          <w:sz w:val="28"/>
          <w:szCs w:val="28"/>
        </w:rPr>
        <w:t>ценностям</w:t>
      </w:r>
      <w:r w:rsidR="0002258D" w:rsidRPr="003A23B3">
        <w:rPr>
          <w:color w:val="1A1A1A"/>
          <w:sz w:val="28"/>
          <w:szCs w:val="28"/>
        </w:rPr>
        <w:t xml:space="preserve"> подписываются</w:t>
      </w:r>
      <w:proofErr w:type="gramEnd"/>
      <w:r w:rsidR="0002258D" w:rsidRPr="003A23B3">
        <w:rPr>
          <w:color w:val="1A1A1A"/>
          <w:sz w:val="28"/>
          <w:szCs w:val="28"/>
        </w:rPr>
        <w:t>) должностным лицом контрольного органа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62776" w:rsidRPr="003A23B3" w:rsidRDefault="00FC6F16" w:rsidP="003A23B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за 9 месяцев </w:t>
      </w:r>
      <w:r w:rsidR="007635BC" w:rsidRPr="003A23B3">
        <w:rPr>
          <w:sz w:val="28"/>
          <w:szCs w:val="28"/>
        </w:rPr>
        <w:t>202</w:t>
      </w:r>
      <w:r w:rsidR="00D1060D" w:rsidRPr="003A23B3">
        <w:rPr>
          <w:sz w:val="28"/>
          <w:szCs w:val="28"/>
        </w:rPr>
        <w:t>4</w:t>
      </w:r>
      <w:r w:rsidR="00862776" w:rsidRPr="003A23B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</w:p>
    <w:p w:rsidR="00862776" w:rsidRPr="00FC6F16" w:rsidRDefault="00FC6F16" w:rsidP="00FC6F1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2. Цели и </w:t>
      </w:r>
      <w:r w:rsidR="00862776" w:rsidRPr="003A23B3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2.1. Целями профилактической работы являются: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1) стимулирование добросовестного соблюдения обязательных требовани</w:t>
      </w:r>
      <w:r w:rsidR="00FC6F16">
        <w:rPr>
          <w:sz w:val="28"/>
          <w:szCs w:val="28"/>
        </w:rPr>
        <w:t>й всеми контролируемыми лицами;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</w:t>
      </w:r>
      <w:r w:rsidR="00FC6F16">
        <w:rPr>
          <w:sz w:val="28"/>
          <w:szCs w:val="28"/>
        </w:rPr>
        <w:t>аконом ценностям;</w:t>
      </w:r>
    </w:p>
    <w:p w:rsidR="00FC6F16" w:rsidRDefault="00862776" w:rsidP="00FC6F16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2776" w:rsidRPr="003A23B3" w:rsidRDefault="00862776" w:rsidP="00FC6F16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lastRenderedPageBreak/>
        <w:t xml:space="preserve">4) предупреждение </w:t>
      </w:r>
      <w:proofErr w:type="gramStart"/>
      <w:r w:rsidRPr="003A23B3">
        <w:rPr>
          <w:sz w:val="28"/>
          <w:szCs w:val="28"/>
        </w:rPr>
        <w:t>нарушений</w:t>
      </w:r>
      <w:proofErr w:type="gramEnd"/>
      <w:r w:rsidRPr="003A23B3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5) снижение административной нагрузки на контролируемых лиц;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2.2. Задачами профилактической работы являются: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sz w:val="28"/>
          <w:szCs w:val="28"/>
        </w:rPr>
      </w:pPr>
      <w:r w:rsidRPr="003A23B3">
        <w:rPr>
          <w:sz w:val="28"/>
          <w:szCs w:val="28"/>
        </w:rPr>
        <w:t>В положении о виде контроля с</w:t>
      </w:r>
      <w:r w:rsidRPr="003A23B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A23B3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A23B3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A23B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A23B3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862776" w:rsidRPr="003A23B3" w:rsidRDefault="00862776" w:rsidP="003A23B3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6F16" w:rsidRDefault="00862776" w:rsidP="00FC6F1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23B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  <w:r w:rsidR="00FC6F16">
        <w:rPr>
          <w:b/>
          <w:color w:val="000000"/>
          <w:sz w:val="28"/>
          <w:szCs w:val="28"/>
          <w:shd w:val="clear" w:color="auto" w:fill="FFFFFF"/>
        </w:rPr>
        <w:t>:</w:t>
      </w:r>
    </w:p>
    <w:p w:rsidR="00FC6F16" w:rsidRDefault="00FC6F16" w:rsidP="00FC6F1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6F16" w:rsidRDefault="00FC6F16" w:rsidP="00FC6F1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6F16" w:rsidRDefault="00FC6F16" w:rsidP="00FC6F1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6F16" w:rsidRDefault="00FC6F16" w:rsidP="00FC6F1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C6F16" w:rsidRPr="00FC6F16" w:rsidRDefault="00FC6F16" w:rsidP="00FC6F1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252"/>
        <w:gridCol w:w="2410"/>
        <w:gridCol w:w="2531"/>
      </w:tblGrid>
      <w:tr w:rsidR="00862776" w:rsidRPr="00FC6F16" w:rsidTr="00FC6F16">
        <w:trPr>
          <w:trHeight w:hRule="exact" w:val="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2776" w:rsidRPr="00FC6F16" w:rsidRDefault="00862776" w:rsidP="00FC6F16">
            <w:pPr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FC6F16">
              <w:rPr>
                <w:sz w:val="24"/>
                <w:szCs w:val="24"/>
              </w:rPr>
              <w:t>п</w:t>
            </w:r>
            <w:proofErr w:type="gramEnd"/>
            <w:r w:rsidRPr="00FC6F16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776" w:rsidRPr="00FC6F16" w:rsidRDefault="00862776" w:rsidP="00FC6F16">
            <w:pPr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Наименование</w:t>
            </w:r>
          </w:p>
          <w:p w:rsidR="00862776" w:rsidRPr="00FC6F16" w:rsidRDefault="00862776" w:rsidP="00FC6F16">
            <w:pPr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776" w:rsidRPr="00FC6F16" w:rsidRDefault="00862776" w:rsidP="00FC6F16">
            <w:pPr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776" w:rsidRPr="00FC6F16" w:rsidRDefault="00862776" w:rsidP="00FC6F16">
            <w:pPr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862776" w:rsidRPr="00FC6F16" w:rsidTr="00FC6F16">
        <w:trPr>
          <w:trHeight w:hRule="exact" w:val="45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776" w:rsidRPr="00FC6F16" w:rsidRDefault="00FC6F16" w:rsidP="00FC6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776" w:rsidRPr="00FC6F16" w:rsidRDefault="00862776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6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:rsidR="00862776" w:rsidRPr="00FC6F16" w:rsidRDefault="00862776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администрации  в сети «Интернет»:</w:t>
            </w:r>
          </w:p>
          <w:p w:rsidR="00862776" w:rsidRPr="00FC6F16" w:rsidRDefault="00FC6F16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776" w:rsidRPr="00FC6F16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</w:t>
            </w:r>
            <w:bookmarkStart w:id="0" w:name="_GoBack"/>
            <w:bookmarkEnd w:id="0"/>
            <w:r w:rsidR="00862776" w:rsidRPr="00FC6F16">
              <w:rPr>
                <w:rFonts w:ascii="Times New Roman" w:hAnsi="Times New Roman" w:cs="Times New Roman"/>
                <w:sz w:val="24"/>
                <w:szCs w:val="24"/>
              </w:rPr>
              <w:t>ипального  контроля, а также текстов соответствующих нормативных правовых актов;</w:t>
            </w:r>
          </w:p>
          <w:p w:rsidR="00862776" w:rsidRPr="00FC6F16" w:rsidRDefault="00FC6F16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776" w:rsidRPr="00FC6F16">
              <w:rPr>
                <w:rFonts w:ascii="Times New Roman" w:hAnsi="Times New Roman" w:cs="Times New Roman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862776" w:rsidRPr="00FC6F16" w:rsidRDefault="00FC6F16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776" w:rsidRPr="00FC6F16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776" w:rsidRPr="00FC6F16" w:rsidRDefault="00862776" w:rsidP="00FC6F16">
            <w:pPr>
              <w:jc w:val="both"/>
              <w:rPr>
                <w:sz w:val="24"/>
                <w:szCs w:val="24"/>
              </w:rPr>
            </w:pPr>
          </w:p>
          <w:p w:rsidR="00862776" w:rsidRPr="00FC6F16" w:rsidRDefault="00862776" w:rsidP="00FC6F16">
            <w:pPr>
              <w:jc w:val="both"/>
              <w:rPr>
                <w:sz w:val="24"/>
                <w:szCs w:val="24"/>
              </w:rPr>
            </w:pPr>
          </w:p>
          <w:p w:rsidR="00862776" w:rsidRPr="00FC6F16" w:rsidRDefault="00862776" w:rsidP="00FC6F16">
            <w:pPr>
              <w:jc w:val="both"/>
              <w:rPr>
                <w:sz w:val="24"/>
                <w:szCs w:val="24"/>
              </w:rPr>
            </w:pPr>
          </w:p>
          <w:p w:rsidR="00862776" w:rsidRPr="00FC6F16" w:rsidRDefault="00862776" w:rsidP="00FC6F16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C6F16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законодательства;</w:t>
            </w:r>
          </w:p>
          <w:p w:rsidR="00862776" w:rsidRPr="00FC6F16" w:rsidRDefault="00862776" w:rsidP="00FC6F16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862776" w:rsidRPr="00FC6F16" w:rsidRDefault="00862776" w:rsidP="00FC6F16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862776" w:rsidRPr="00FC6F16" w:rsidRDefault="00862776" w:rsidP="00FC6F16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C6F16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год;</w:t>
            </w:r>
          </w:p>
          <w:p w:rsidR="00862776" w:rsidRPr="00FC6F16" w:rsidRDefault="00862776" w:rsidP="00FC6F16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862776" w:rsidRPr="00FC6F16" w:rsidRDefault="00862776" w:rsidP="00FC6F16">
            <w:pPr>
              <w:jc w:val="both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Не поз</w:t>
            </w:r>
            <w:r w:rsidR="00FC6F16">
              <w:rPr>
                <w:sz w:val="24"/>
                <w:szCs w:val="24"/>
              </w:rPr>
              <w:t>днее 25 декабря предшествующего</w:t>
            </w:r>
            <w:r w:rsidRPr="00FC6F1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776" w:rsidRPr="00FC6F16" w:rsidRDefault="00862776" w:rsidP="00FC6F16">
            <w:pPr>
              <w:jc w:val="both"/>
              <w:rPr>
                <w:sz w:val="24"/>
                <w:szCs w:val="24"/>
              </w:rPr>
            </w:pPr>
            <w:r w:rsidRPr="00FC6F1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62776" w:rsidRPr="00FC6F16" w:rsidTr="00FC6F16">
        <w:trPr>
          <w:trHeight w:hRule="exact" w:val="2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776" w:rsidRPr="00FC6F16" w:rsidRDefault="00862776" w:rsidP="00FC6F16">
            <w:pPr>
              <w:widowControl w:val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776" w:rsidRPr="00FC6F16" w:rsidRDefault="00862776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62776" w:rsidRPr="00FC6F16" w:rsidRDefault="00862776" w:rsidP="00FC6F1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776" w:rsidRPr="00FC6F16" w:rsidRDefault="00FC6F16" w:rsidP="00FC6F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="00862776" w:rsidRPr="00FC6F16">
              <w:rPr>
                <w:sz w:val="24"/>
                <w:szCs w:val="24"/>
              </w:rPr>
              <w:t xml:space="preserve">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76" w:rsidRPr="00FC6F16" w:rsidRDefault="00862776" w:rsidP="00FC6F16">
            <w:pPr>
              <w:widowControl w:val="0"/>
              <w:jc w:val="both"/>
              <w:rPr>
                <w:sz w:val="24"/>
                <w:szCs w:val="24"/>
              </w:rPr>
            </w:pPr>
            <w:r w:rsidRPr="00FC6F1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</w:t>
            </w:r>
            <w:r w:rsidR="00FC6F16">
              <w:rPr>
                <w:rFonts w:eastAsia="Calibri"/>
                <w:sz w:val="24"/>
                <w:szCs w:val="24"/>
                <w:lang w:eastAsia="en-US"/>
              </w:rPr>
              <w:t>вление муниципального контроля</w:t>
            </w:r>
          </w:p>
        </w:tc>
      </w:tr>
      <w:tr w:rsidR="00145F7D" w:rsidRPr="00FC6F16" w:rsidTr="00FC6F16">
        <w:trPr>
          <w:trHeight w:hRule="exact" w:val="22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5F7D" w:rsidRPr="00FC6F16" w:rsidRDefault="00145F7D" w:rsidP="00FC6F16">
            <w:pPr>
              <w:widowControl w:val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5F7D" w:rsidRPr="00FC6F16" w:rsidRDefault="00145F7D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16">
              <w:rPr>
                <w:rFonts w:ascii="Times New Roman" w:hAnsi="Times New Roman" w:cs="Times New Roman"/>
                <w:sz w:val="24"/>
                <w:szCs w:val="24"/>
              </w:rPr>
              <w:t>Предостережение.</w:t>
            </w:r>
          </w:p>
          <w:p w:rsidR="00145F7D" w:rsidRPr="00FC6F16" w:rsidRDefault="00145F7D" w:rsidP="00FC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5F7D" w:rsidRPr="00FC6F16" w:rsidRDefault="00145F7D" w:rsidP="00FC6F16">
            <w:pPr>
              <w:widowControl w:val="0"/>
              <w:jc w:val="both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Не позднее 10 календарных дней со дня появления оснований, предусмотренных действующим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F7D" w:rsidRPr="00FC6F16" w:rsidRDefault="00145F7D" w:rsidP="00FC6F1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C6F1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</w:t>
            </w:r>
            <w:r w:rsidR="00FC6F16">
              <w:rPr>
                <w:rFonts w:eastAsia="Calibri"/>
                <w:sz w:val="24"/>
                <w:szCs w:val="24"/>
                <w:lang w:eastAsia="en-US"/>
              </w:rPr>
              <w:t xml:space="preserve">вление муниципального контроля </w:t>
            </w:r>
          </w:p>
        </w:tc>
      </w:tr>
    </w:tbl>
    <w:p w:rsidR="00145F7D" w:rsidRPr="003A23B3" w:rsidRDefault="00145F7D" w:rsidP="00FC6F16">
      <w:pPr>
        <w:spacing w:line="360" w:lineRule="auto"/>
        <w:jc w:val="both"/>
        <w:rPr>
          <w:sz w:val="28"/>
          <w:szCs w:val="28"/>
        </w:rPr>
      </w:pPr>
    </w:p>
    <w:p w:rsidR="00862776" w:rsidRPr="00FC6F16" w:rsidRDefault="00862776" w:rsidP="00FC6F16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23B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  <w:r w:rsidR="00FC6F16">
        <w:rPr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556"/>
      </w:tblGrid>
      <w:tr w:rsidR="00862776" w:rsidRPr="00497954" w:rsidTr="0049795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776" w:rsidRPr="00497954" w:rsidRDefault="00497954" w:rsidP="0049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776" w:rsidRPr="00497954" w:rsidRDefault="00862776" w:rsidP="00497954">
            <w:pPr>
              <w:jc w:val="center"/>
              <w:rPr>
                <w:sz w:val="24"/>
                <w:szCs w:val="24"/>
              </w:rPr>
            </w:pPr>
            <w:r w:rsidRPr="0049795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776" w:rsidRPr="00497954" w:rsidRDefault="00862776" w:rsidP="00497954">
            <w:pPr>
              <w:jc w:val="center"/>
              <w:rPr>
                <w:sz w:val="24"/>
                <w:szCs w:val="24"/>
              </w:rPr>
            </w:pPr>
            <w:r w:rsidRPr="00497954">
              <w:rPr>
                <w:sz w:val="24"/>
                <w:szCs w:val="24"/>
              </w:rPr>
              <w:t>Величина</w:t>
            </w:r>
          </w:p>
        </w:tc>
      </w:tr>
      <w:tr w:rsidR="00862776" w:rsidRPr="003A23B3" w:rsidTr="00497954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776" w:rsidRPr="00497954" w:rsidRDefault="00862776" w:rsidP="00497954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497954">
              <w:rPr>
                <w:sz w:val="24"/>
                <w:szCs w:val="24"/>
              </w:rPr>
              <w:t>11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776" w:rsidRPr="00497954" w:rsidRDefault="00862776" w:rsidP="00497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5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776" w:rsidRPr="00497954" w:rsidRDefault="00862776" w:rsidP="00FC6F16">
            <w:pPr>
              <w:jc w:val="both"/>
              <w:rPr>
                <w:sz w:val="24"/>
                <w:szCs w:val="24"/>
              </w:rPr>
            </w:pPr>
            <w:r w:rsidRPr="00497954">
              <w:rPr>
                <w:sz w:val="24"/>
                <w:szCs w:val="24"/>
              </w:rPr>
              <w:t>100%</w:t>
            </w:r>
          </w:p>
        </w:tc>
      </w:tr>
      <w:tr w:rsidR="00862776" w:rsidRPr="003A23B3" w:rsidTr="00497954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776" w:rsidRPr="00497954" w:rsidRDefault="00862776" w:rsidP="00497954">
            <w:pPr>
              <w:widowControl w:val="0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 w:rsidRPr="0049795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776" w:rsidRPr="00497954" w:rsidRDefault="00862776" w:rsidP="00FC6F16">
            <w:pPr>
              <w:widowControl w:val="0"/>
              <w:jc w:val="both"/>
              <w:rPr>
                <w:sz w:val="24"/>
                <w:szCs w:val="24"/>
              </w:rPr>
            </w:pPr>
            <w:r w:rsidRPr="00497954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76" w:rsidRPr="00497954" w:rsidRDefault="00862776" w:rsidP="00FC6F16">
            <w:pPr>
              <w:widowControl w:val="0"/>
              <w:jc w:val="both"/>
              <w:rPr>
                <w:sz w:val="24"/>
                <w:szCs w:val="24"/>
              </w:rPr>
            </w:pPr>
            <w:r w:rsidRPr="00497954">
              <w:rPr>
                <w:sz w:val="24"/>
                <w:szCs w:val="24"/>
              </w:rPr>
              <w:t>100%</w:t>
            </w:r>
          </w:p>
        </w:tc>
      </w:tr>
    </w:tbl>
    <w:p w:rsidR="00D0630D" w:rsidRPr="003A23B3" w:rsidRDefault="00D0630D" w:rsidP="00497954">
      <w:pPr>
        <w:spacing w:line="360" w:lineRule="auto"/>
        <w:jc w:val="both"/>
        <w:rPr>
          <w:sz w:val="28"/>
          <w:szCs w:val="28"/>
        </w:rPr>
      </w:pPr>
    </w:p>
    <w:sectPr w:rsidR="00D0630D" w:rsidRPr="003A23B3" w:rsidSect="003A23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76"/>
    <w:rsid w:val="0002258D"/>
    <w:rsid w:val="00145F7D"/>
    <w:rsid w:val="003A23B3"/>
    <w:rsid w:val="00497954"/>
    <w:rsid w:val="005D0231"/>
    <w:rsid w:val="007635BC"/>
    <w:rsid w:val="00862776"/>
    <w:rsid w:val="00930251"/>
    <w:rsid w:val="00D0630D"/>
    <w:rsid w:val="00D1060D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862776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99"/>
    <w:qFormat/>
    <w:rsid w:val="0086277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862776"/>
    <w:rPr>
      <w:rFonts w:ascii="Arial" w:hAnsi="Arial" w:cs="Arial"/>
    </w:rPr>
  </w:style>
  <w:style w:type="paragraph" w:customStyle="1" w:styleId="ConsPlusNormal">
    <w:name w:val="ConsPlusNormal"/>
    <w:link w:val="ConsPlusNormal1"/>
    <w:rsid w:val="008627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8627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2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862776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99"/>
    <w:qFormat/>
    <w:rsid w:val="0086277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862776"/>
    <w:rPr>
      <w:rFonts w:ascii="Arial" w:hAnsi="Arial" w:cs="Arial"/>
    </w:rPr>
  </w:style>
  <w:style w:type="paragraph" w:customStyle="1" w:styleId="ConsPlusNormal">
    <w:name w:val="ConsPlusNormal"/>
    <w:link w:val="ConsPlusNormal1"/>
    <w:rsid w:val="008627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8627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2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Администратор безопасности</cp:lastModifiedBy>
  <cp:revision>10</cp:revision>
  <dcterms:created xsi:type="dcterms:W3CDTF">2023-10-01T14:06:00Z</dcterms:created>
  <dcterms:modified xsi:type="dcterms:W3CDTF">2024-09-26T13:37:00Z</dcterms:modified>
</cp:coreProperties>
</file>